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4581"/>
        <w:gridCol w:w="4883"/>
      </w:tblGrid>
      <w:tr w:rsidR="002A2108" w:rsidRPr="00395DD3" w:rsidTr="007E1FDF">
        <w:tc>
          <w:tcPr>
            <w:tcW w:w="4581" w:type="dxa"/>
          </w:tcPr>
          <w:p w:rsidR="002A2108" w:rsidRPr="00395DD3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83" w:type="dxa"/>
          </w:tcPr>
          <w:p w:rsidR="002A2108" w:rsidRPr="00395DD3" w:rsidRDefault="002A2108" w:rsidP="00395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95DD3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395DD3" w:rsidRPr="00395DD3" w:rsidRDefault="00395DD3" w:rsidP="00395DD3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D3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</w:t>
            </w:r>
          </w:p>
          <w:p w:rsidR="00395DD3" w:rsidRPr="00395DD3" w:rsidRDefault="00395DD3" w:rsidP="00395DD3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D3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 предпринимательства</w:t>
            </w:r>
          </w:p>
          <w:p w:rsidR="00395DD3" w:rsidRPr="00395DD3" w:rsidRDefault="00395DD3" w:rsidP="00395D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5DD3">
              <w:rPr>
                <w:rFonts w:ascii="Times New Roman" w:hAnsi="Times New Roman"/>
                <w:sz w:val="24"/>
                <w:szCs w:val="24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2A2108" w:rsidRPr="00395DD3" w:rsidRDefault="002A2108" w:rsidP="00395DD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2A2108" w:rsidRDefault="002A2108" w:rsidP="002A210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95DD3" w:rsidRPr="00BD7FF0" w:rsidRDefault="00395DD3" w:rsidP="002A210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>БАЛЛЬНАЯ СИСТЕМА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определения рейтинга заявки на предоставление </w:t>
      </w: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субсидии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на субсидирование части затрат, связанных с уплатой первого взноса (аванса) при заключении договора (договоров) лизинга оборудования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 российскими лизинговыми организациями в целях создания и (или) развития либо модернизации производства товаров (работ, услуг)/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субсидии на субсидирование части затрат, связанных с уплатой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лизинговых платежей при заключении договора (договоров) лизинга оборудования с российскими лизинговыми организациями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в целях создания и (или) развития либо модернизации производства 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>товаров (работ, услуг)</w:t>
      </w:r>
    </w:p>
    <w:p w:rsidR="002A2108" w:rsidRDefault="002A2108" w:rsidP="002A2108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395DD3" w:rsidRDefault="00395DD3" w:rsidP="002A2108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395DD3" w:rsidRPr="00BD7FF0" w:rsidRDefault="00395DD3" w:rsidP="002A2108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9101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2826"/>
        <w:gridCol w:w="4565"/>
        <w:gridCol w:w="1134"/>
      </w:tblGrid>
      <w:tr w:rsidR="002A2108" w:rsidRPr="00BD7FF0" w:rsidTr="007E1FDF">
        <w:tc>
          <w:tcPr>
            <w:tcW w:w="57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28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Наименование </w:t>
            </w: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критерия оценки </w:t>
            </w: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заявки</w:t>
            </w:r>
          </w:p>
        </w:tc>
        <w:tc>
          <w:tcPr>
            <w:tcW w:w="4565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Диапазон значений</w:t>
            </w:r>
          </w:p>
        </w:tc>
        <w:tc>
          <w:tcPr>
            <w:tcW w:w="1134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Коли-</w:t>
            </w:r>
            <w:proofErr w:type="spell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чество</w:t>
            </w:r>
            <w:proofErr w:type="spellEnd"/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баллов</w:t>
            </w:r>
          </w:p>
        </w:tc>
      </w:tr>
    </w:tbl>
    <w:p w:rsidR="002A2108" w:rsidRPr="00BD7FF0" w:rsidRDefault="002A2108" w:rsidP="002A2108">
      <w:pPr>
        <w:spacing w:after="0" w:line="240" w:lineRule="auto"/>
        <w:rPr>
          <w:sz w:val="2"/>
          <w:szCs w:val="2"/>
        </w:rPr>
      </w:pPr>
    </w:p>
    <w:tbl>
      <w:tblPr>
        <w:tblW w:w="91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2826"/>
        <w:gridCol w:w="4565"/>
        <w:gridCol w:w="1134"/>
      </w:tblGrid>
      <w:tr w:rsidR="002A2108" w:rsidRPr="00BD7FF0" w:rsidTr="007E1FDF">
        <w:trPr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2A2108" w:rsidRPr="00BD7FF0" w:rsidTr="007E1FDF">
        <w:trPr>
          <w:trHeight w:val="77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Основной вид экономической деятельности, осуществляемой субъектом малого (среднего) предпринимательства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Обрабатывающее производство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029-2001 –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подклассы 15.1 – 15.8,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группы 15.97, 15.98,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классы 17 – 21, 24 – 26, 28, 29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(подкласс 29.1 (группы 29.12 – 29.14), подклассы 29.2 – 29.5, 29.7), 30 (группы 30.01, 30.02), 31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(подклассы 31.1 – 31.6),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32, 33 (подклассы 33.1, 33.2, 33.5),  34 (подкласс 34.3),  35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(подклассы 35.1– 35.2, 35.4), 36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(подклассы 36.1, 36.21, 36.4 – 36.6),  37;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029-2014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softHyphen/>
              <w:t xml:space="preserve">– классы 10, 11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(подклассы 11.06, 11.07), 13 – 17, 20 – 24 (подклассы 24.1 – 24.3), 25 (за исключением подкласса 25.4),  26 – 28 (подклассы 28.12 – 28.15, 28.2 – 28.9), 29 (подкласс 29.3), 30 (подклассы 30.1 – 30.2, 30.09), 31, 32 (подклассы 32.2 – 32.99.9).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Сельское хозяйство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029-2001 – классы 01 (под-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200</w:t>
            </w:r>
          </w:p>
        </w:tc>
      </w:tr>
      <w:tr w:rsidR="002A2108" w:rsidRPr="00BD7FF0" w:rsidTr="007E1FDF">
        <w:trPr>
          <w:trHeight w:val="127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классы 01.1 − 01.5), 02, 05 (вид 05.01.21, подкласс 05.02).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029-2014 –  классы 01, 02, 03 (подкласс 03.22)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2108" w:rsidRPr="00BD7FF0" w:rsidTr="007E1FDF">
        <w:trPr>
          <w:trHeight w:val="1033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Транспорт и связь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029-2001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softHyphen/>
              <w:t xml:space="preserve">–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классы </w:t>
            </w:r>
            <w:hyperlink r:id="rId10" w:history="1">
              <w:r w:rsidRPr="00BD7FF0">
                <w:rPr>
                  <w:rFonts w:ascii="Times New Roman" w:eastAsiaTheme="minorHAnsi" w:hAnsi="Times New Roman"/>
                  <w:sz w:val="28"/>
                  <w:szCs w:val="28"/>
                </w:rPr>
                <w:t>60</w:t>
              </w:r>
            </w:hyperlink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(подклассы 60.1,  подкласс 60.2 (за исключением подгруппы 60.21.23, группы 60.22, подгруппы 60.24.3),</w:t>
            </w:r>
            <w:proofErr w:type="gramEnd"/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61 (подгруппы 61.20.1, 61.20.2), </w:t>
            </w:r>
            <w:hyperlink r:id="rId11" w:history="1">
              <w:r w:rsidRPr="00BD7FF0">
                <w:rPr>
                  <w:rFonts w:ascii="Times New Roman" w:eastAsiaTheme="minorHAnsi" w:hAnsi="Times New Roman"/>
                  <w:sz w:val="28"/>
                  <w:szCs w:val="28"/>
                </w:rPr>
                <w:t>63</w:t>
              </w:r>
            </w:hyperlink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D7FF0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(</w:t>
            </w:r>
            <w:hyperlink r:id="rId12" w:history="1">
              <w:r w:rsidRPr="00BD7FF0">
                <w:rPr>
                  <w:rStyle w:val="a3"/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подклассы  63.1</w:t>
              </w:r>
            </w:hyperlink>
            <w:r w:rsidRPr="00BD7FF0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13" w:history="1">
              <w:r w:rsidRPr="00BD7FF0">
                <w:rPr>
                  <w:rStyle w:val="a3"/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63.4</w:t>
              </w:r>
            </w:hyperlink>
            <w:r w:rsidRPr="00BD7FF0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), 64;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029-2014 –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классы </w:t>
            </w:r>
            <w:hyperlink r:id="rId14" w:history="1">
              <w:r w:rsidRPr="00BD7FF0">
                <w:rPr>
                  <w:rFonts w:ascii="Times New Roman" w:eastAsiaTheme="minorHAnsi" w:hAnsi="Times New Roman"/>
                  <w:sz w:val="28"/>
                  <w:szCs w:val="28"/>
                </w:rPr>
                <w:t>49</w:t>
              </w:r>
            </w:hyperlink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(подклассы 49.1, 49.2, группа  49.31, за исключением подгруппы 49.31.24,</w:t>
            </w:r>
            <w:proofErr w:type="gramEnd"/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группа 49.39  (подгруппы  49.39.1, 49.39.2), подкласс 49.4,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за исключением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подгруппы 49.41.3), 50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(подгруппы 50.30.1, 50.40.1), </w:t>
            </w:r>
            <w:hyperlink r:id="rId15" w:history="1">
              <w:r w:rsidRPr="00BD7FF0">
                <w:rPr>
                  <w:rFonts w:ascii="Times New Roman" w:eastAsiaTheme="minorHAnsi" w:hAnsi="Times New Roman"/>
                  <w:sz w:val="28"/>
                  <w:szCs w:val="28"/>
                </w:rPr>
                <w:t>52</w:t>
              </w:r>
            </w:hyperlink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(подкласс 52.1), 61.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Строительство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029-2001 – класс 45 (подклассы 45.1 – 45.4);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029-2014 – классы 41, 42.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Производство, передача и распределение электроэнергии, газа, пара и горячей воды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029-2001 – класс 40;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029-2014 – класс 35.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Сбор, очистка и распределение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воды, удаление сточных вод, отходов и аналогичная деятельность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029-2001 –  классы 41, 90;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029-2014 – классы 36 – 39)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150</w:t>
            </w:r>
          </w:p>
        </w:tc>
      </w:tr>
      <w:tr w:rsidR="002A2108" w:rsidRPr="00BD7FF0" w:rsidTr="007E1FDF">
        <w:trPr>
          <w:trHeight w:val="99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Другие направления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029-2001  –  классы 22 (подклассы 22.1, 22.2), 50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(подкласс 50.2),  52 (подкласс 52.7), 55, 74 (подклассы 74.2 – 74.3), 80, 85, 92, 93 (подклассы 93.01, 93.02).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Другие направления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по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ОК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 029-2014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классы 18 (подкласс 18.1),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33 (за исключением подкласса 33.16), 45 (подкласс 45.2), 55, 56,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62, 63, 71, 75, 85 – 88, 90, 91, 93 </w:t>
            </w:r>
          </w:p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(за исключением подкласса 93.19), 95, 96 (подклассы 96.01, 96.02)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50</w:t>
            </w:r>
          </w:p>
        </w:tc>
      </w:tr>
      <w:tr w:rsidR="002A2108" w:rsidRPr="00BD7FF0" w:rsidTr="007E1FDF">
        <w:trPr>
          <w:trHeight w:val="27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Среднемесячная заработная плата наемных работников заявителя за квартал, предшествующий кварталу, в котором подана заявка 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2 прожиточных минимумов, установленных для трудоспособного населения Ярославской области  на момент подачи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200</w:t>
            </w:r>
          </w:p>
        </w:tc>
      </w:tr>
      <w:tr w:rsidR="002A2108" w:rsidRPr="00BD7FF0" w:rsidTr="007E1FDF">
        <w:trPr>
          <w:trHeight w:val="26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1,5, но менее 2 прожиточных минимумов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150</w:t>
            </w:r>
          </w:p>
        </w:tc>
      </w:tr>
      <w:tr w:rsidR="002A2108" w:rsidRPr="00BD7FF0" w:rsidTr="007E1FDF">
        <w:trPr>
          <w:trHeight w:val="269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от  1 до 1,5 прожиточного минимума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2A2108" w:rsidRPr="00BD7FF0" w:rsidTr="007E1FDF">
        <w:trPr>
          <w:trHeight w:val="7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Бюджетная эффективность субсидии (соотношение объема налоговых платежей, включая НДФЛ, уплаченных за предшествующий календарный год (без учета НДС) в бюджеты всех уровней, и объема запрашиваемой субсидии (в процентах))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100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200</w:t>
            </w:r>
          </w:p>
        </w:tc>
      </w:tr>
      <w:tr w:rsidR="002A2108" w:rsidRPr="00BD7FF0" w:rsidTr="007E1FDF">
        <w:trPr>
          <w:trHeight w:val="98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50, но менее 100 процентов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150</w:t>
            </w:r>
          </w:p>
        </w:tc>
      </w:tr>
      <w:tr w:rsidR="002A2108" w:rsidRPr="00BD7FF0" w:rsidTr="007E1FDF">
        <w:trPr>
          <w:trHeight w:val="97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30, но менее 50 процентов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2A2108" w:rsidRPr="00BD7FF0" w:rsidTr="007E1FDF">
        <w:trPr>
          <w:trHeight w:val="71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30 процентов и менее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50</w:t>
            </w:r>
          </w:p>
        </w:tc>
      </w:tr>
      <w:tr w:rsidR="002A2108" w:rsidRPr="00BD7FF0" w:rsidTr="007E1FDF">
        <w:trPr>
          <w:trHeight w:val="2049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Выработка на одного работающего за год, предшествующий году, в котором подана заявка (соотношение в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ыручки от реализации товаров (выполнения работ,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оказания услуг) (без учёта НДС),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за год, предшествующий году подачи заявки, и среднесписочной численности сотрудников за год, предшествующий году подачи заявки), тыс. рублей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более 10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2A2108" w:rsidRPr="00BD7FF0" w:rsidTr="007E1FDF">
        <w:trPr>
          <w:trHeight w:val="112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более 2,5 млн. рублей, но менее 10 млн. рублей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75</w:t>
            </w:r>
          </w:p>
        </w:tc>
      </w:tr>
      <w:tr w:rsidR="002A2108" w:rsidRPr="00BD7FF0" w:rsidTr="007E1FDF">
        <w:trPr>
          <w:trHeight w:val="1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более 1 млн. рублей, но менее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br/>
              <w:t>2,5 млн. рублей включительно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50</w:t>
            </w:r>
          </w:p>
        </w:tc>
      </w:tr>
      <w:tr w:rsidR="002A2108" w:rsidRPr="00BD7FF0" w:rsidTr="007E1FDF">
        <w:trPr>
          <w:trHeight w:val="112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 млн. рублей и менее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</w:tr>
      <w:tr w:rsidR="002A2108" w:rsidRPr="00BD7FF0" w:rsidTr="007E1FDF">
        <w:trPr>
          <w:trHeight w:val="4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Создание рабочих мест за год, предшествующий году, в котором подана заявка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создано 6 и более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2A2108" w:rsidRPr="00BD7FF0" w:rsidTr="007E1FDF">
        <w:trPr>
          <w:trHeight w:val="4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создано от 1 до 5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50</w:t>
            </w:r>
          </w:p>
        </w:tc>
      </w:tr>
      <w:tr w:rsidR="002A2108" w:rsidRPr="00BD7FF0" w:rsidTr="007E1FDF">
        <w:trPr>
          <w:trHeight w:val="4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не создано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2A2108" w:rsidRPr="00BD7FF0" w:rsidTr="007E1FDF">
        <w:trPr>
          <w:trHeight w:val="430"/>
        </w:trPr>
        <w:tc>
          <w:tcPr>
            <w:tcW w:w="7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A2108" w:rsidRPr="00BD7FF0" w:rsidRDefault="002A2108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2A2108" w:rsidRPr="00BD7FF0" w:rsidRDefault="002A2108" w:rsidP="002A210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Список используемых сокращений</w:t>
      </w:r>
    </w:p>
    <w:p w:rsidR="002A2108" w:rsidRPr="00BD7FF0" w:rsidRDefault="002A2108" w:rsidP="002A2108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2108" w:rsidRPr="00BD7FF0" w:rsidRDefault="002A2108" w:rsidP="002A210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ОК</w:t>
      </w:r>
      <w:proofErr w:type="gramEnd"/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 xml:space="preserve"> 029-2001 − Общероссийский классификатор видов экономической деятельности, продукции и услуг ОК 029-2001, утверждённый постановлением Государственного комитета Российской Федерации по стандартизации и метрологии от 06.11.2001 № 454-ст «О принятии и введении в действие ОКВЭД» </w:t>
      </w:r>
    </w:p>
    <w:p w:rsidR="002A2108" w:rsidRPr="00BD7FF0" w:rsidRDefault="002A2108" w:rsidP="002A210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ОК</w:t>
      </w:r>
      <w:proofErr w:type="gramEnd"/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 xml:space="preserve"> 029-2014 – Общероссийский классификатор видов экономической деятельности ОК 029-2014, утверждённый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</w:t>
      </w:r>
    </w:p>
    <w:p w:rsidR="002A2108" w:rsidRPr="00BD7FF0" w:rsidRDefault="002A2108" w:rsidP="002A210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НДС – налог на добавленную стоимость</w:t>
      </w:r>
    </w:p>
    <w:p w:rsidR="002A2108" w:rsidRPr="00BD7FF0" w:rsidRDefault="002A2108" w:rsidP="002A210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НДФЛ – налог на доходы физических лиц</w:t>
      </w:r>
    </w:p>
    <w:p w:rsidR="002A2108" w:rsidRPr="00BD7FF0" w:rsidRDefault="002A2108" w:rsidP="002A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B2A94" w:rsidRDefault="008B2A94"/>
    <w:sectPr w:rsidR="008B2A94" w:rsidSect="000E057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5" w:right="850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06E" w:rsidRDefault="008B506E" w:rsidP="000E057C">
      <w:pPr>
        <w:spacing w:after="0" w:line="240" w:lineRule="auto"/>
      </w:pPr>
      <w:r>
        <w:separator/>
      </w:r>
    </w:p>
  </w:endnote>
  <w:endnote w:type="continuationSeparator" w:id="0">
    <w:p w:rsidR="008B506E" w:rsidRDefault="008B506E" w:rsidP="000E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7C" w:rsidRDefault="000E057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7C" w:rsidRDefault="000E057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7C" w:rsidRDefault="000E05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06E" w:rsidRDefault="008B506E" w:rsidP="000E057C">
      <w:pPr>
        <w:spacing w:after="0" w:line="240" w:lineRule="auto"/>
      </w:pPr>
      <w:r>
        <w:separator/>
      </w:r>
    </w:p>
  </w:footnote>
  <w:footnote w:type="continuationSeparator" w:id="0">
    <w:p w:rsidR="008B506E" w:rsidRDefault="008B506E" w:rsidP="000E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7C" w:rsidRDefault="000E05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145432"/>
      <w:docPartObj>
        <w:docPartGallery w:val="Page Numbers (Top of Page)"/>
        <w:docPartUnique/>
      </w:docPartObj>
    </w:sdtPr>
    <w:sdtContent>
      <w:p w:rsidR="000E057C" w:rsidRDefault="000E05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E057C" w:rsidRDefault="000E0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7C" w:rsidRDefault="000E057C">
    <w:pPr>
      <w:pStyle w:val="a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08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057C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2108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95DD3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5477A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06E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57F27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2108"/>
    <w:rPr>
      <w:color w:val="0000FF" w:themeColor="hyperlink"/>
      <w:u w:val="single"/>
    </w:rPr>
  </w:style>
  <w:style w:type="paragraph" w:customStyle="1" w:styleId="ConsPlusNormal">
    <w:name w:val="ConsPlusNormal"/>
    <w:rsid w:val="00395DD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57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E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57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2108"/>
    <w:rPr>
      <w:color w:val="0000FF" w:themeColor="hyperlink"/>
      <w:u w:val="single"/>
    </w:rPr>
  </w:style>
  <w:style w:type="paragraph" w:customStyle="1" w:styleId="ConsPlusNormal">
    <w:name w:val="ConsPlusNormal"/>
    <w:rsid w:val="00395DD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57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E0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57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CB463F3F76D9C086550F3B954172892C53E30294F8406003AB2A61F257FACCB2ADF909FD22261B4D0P0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FCB463F3F76D9C086550F3B954172892C53E30294F8406003AB2A61F257FACCB2ADF909FD22266B3D0P2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FCB463F3F76D9C086550F3B954172892C53E30294F8406003AB2A61F257FACCB2ADF909FD22266B3D0P4L" TargetMode="Externa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FCB463F3F76D9C086550F3B954172892C5313E264D8A06003AB2A61F257FACCB2ADF909FD12067B2D0P5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CB463F3F76D9C086550F3B954172892C53E30294F8406003AB2A61F257FACCB2ADF909FD22267B2D0P6L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FCB463F3F76D9C086550F3B954172892C5313E264D8A06003AB2A61F257FACCB2ADF909FD02962BDD0PF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3CF41-C1BF-4006-86E2-1791912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1201A1-00DE-4D89-913A-CA970D292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93D13B-B889-45D7-85B7-BBFB05FE9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4</cp:revision>
  <dcterms:created xsi:type="dcterms:W3CDTF">2017-04-26T08:28:00Z</dcterms:created>
  <dcterms:modified xsi:type="dcterms:W3CDTF">2017-04-26T11:48:00Z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